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 w:rsidP="000F4736">
      <w:pPr>
        <w:widowControl/>
        <w:spacing w:line="420" w:lineRule="exact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6B40BB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041280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041280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041280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江西</w:t>
      </w:r>
      <w:proofErr w:type="gramStart"/>
      <w:r w:rsidRPr="00041280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睿</w:t>
      </w:r>
      <w:proofErr w:type="gramEnd"/>
      <w:r w:rsidRPr="00041280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创工程监理有限公司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041280" w:rsidRP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</w:t>
      </w:r>
      <w:proofErr w:type="gramStart"/>
      <w:r w:rsidR="00041280" w:rsidRP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睿</w:t>
      </w:r>
      <w:proofErr w:type="gramEnd"/>
      <w:r w:rsidR="00041280" w:rsidRP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创工程监理有限公司</w:t>
      </w:r>
    </w:p>
    <w:p w:rsidR="00EB276C" w:rsidRDefault="00107137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统一社会信用代码：</w:t>
      </w:r>
      <w:r w:rsidR="00EB276C" w:rsidRPr="00EB276C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9136010059181761X3</w:t>
      </w:r>
    </w:p>
    <w:p w:rsidR="00E84642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EB276C"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江西省南昌市南昌县八一乡莲塘中大道以东88号</w:t>
      </w:r>
    </w:p>
    <w:p w:rsidR="000F4736" w:rsidRDefault="005D11F7" w:rsidP="005D11F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5D11F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法定代表人：</w:t>
      </w:r>
      <w:proofErr w:type="gramStart"/>
      <w:r w:rsidRPr="005D11F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吁晓玲</w:t>
      </w:r>
      <w:proofErr w:type="gramEnd"/>
    </w:p>
    <w:p w:rsidR="00107137" w:rsidRPr="00107137" w:rsidRDefault="00107137" w:rsidP="00107137">
      <w:pPr>
        <w:pStyle w:val="a0"/>
        <w:ind w:firstLineChars="100" w:firstLine="321"/>
        <w:rPr>
          <w:b/>
        </w:rPr>
      </w:pPr>
      <w:r w:rsidRPr="00107137">
        <w:rPr>
          <w:rFonts w:hint="eastAsia"/>
          <w:b/>
        </w:rPr>
        <w:t>一、违法事实</w:t>
      </w:r>
    </w:p>
    <w:p w:rsidR="00EB276C" w:rsidRDefault="00EB276C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经检查，你（单位）在余干县城镇污水处理厂二期处理设备集成系统采购（JXRC-2021-YGK009）、余干</w:t>
      </w:r>
      <w:proofErr w:type="gramStart"/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县创新</w:t>
      </w:r>
      <w:proofErr w:type="gramEnd"/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创业产业园消防控制系统采购（JXRC-2021-YGK010）存在以下问题：</w:t>
      </w:r>
    </w:p>
    <w:p w:rsidR="00EB276C" w:rsidRDefault="00EB276C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1、把发明专利作为评分条件：技术分第四“…工艺创新性，获得发明专利的加1分…”（JXRC-2021-YGK009）；</w:t>
      </w:r>
    </w:p>
    <w:p w:rsidR="00EB276C" w:rsidRDefault="00EB276C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2、售后服务设置不合理，限定歧视性：“…业绩80%以上可得分…”（JXRC-2021-YGK010）。</w:t>
      </w:r>
    </w:p>
    <w:p w:rsidR="003753E4" w:rsidRPr="003753E4" w:rsidRDefault="003753E4" w:rsidP="00EB276C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上述行为违反了</w:t>
      </w:r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中华人民共和国政府采购法实施条例</w:t>
      </w:r>
      <w:proofErr w:type="gramStart"/>
      <w:r w:rsidR="00AC6D49" w:rsidRPr="00AC6D4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</w:t>
      </w:r>
      <w:proofErr w:type="gramEnd"/>
      <w:r w:rsidR="00CB695A" w:rsidRPr="00CB695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第 20 条第6、5 款的规定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二、处罚依据</w:t>
      </w:r>
    </w:p>
    <w:p w:rsidR="00107137" w:rsidRDefault="00EB276C" w:rsidP="008F38A3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根据 《中华人民共和国政府采购法》第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71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4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款、《中华人民共和国政府采购法实施条例》第</w:t>
      </w:r>
      <w:r w:rsidR="008F38A3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66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，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我局决定作出如下处罚：</w:t>
      </w:r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1、警告；2、处陆</w:t>
      </w:r>
      <w:r w:rsidR="00E746D5" w:rsidRPr="00E746D5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仟</w:t>
      </w:r>
      <w:bookmarkStart w:id="0" w:name="_GoBack"/>
      <w:bookmarkEnd w:id="0"/>
      <w:r w:rsidRPr="00EB276C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元罚款（JXRC-2021-YGK009：4000元；JXRC-2021-YGK010：2000元；共计6000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元）</w:t>
      </w:r>
      <w:r w:rsidR="00107137"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。并在政府采购指定网站上予以公示。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三、行政处罚履行方式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150" w:firstLine="4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当事人自收到本决定书之日起十五日内，凭缴款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码通过赣</w:t>
      </w:r>
      <w:proofErr w:type="gramEnd"/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服通、关注“江西财政”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微信公众号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缴入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县财政非税收入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专户，逾期不缴纳罚没款的，根据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《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中华人民共和国行政处罚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法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》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第七十二条第一款的规定，每日按罚款数额的 3%加处罚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款。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3"/>
        <w:jc w:val="left"/>
        <w:rPr>
          <w:rFonts w:ascii="仿宋_GB2312" w:eastAsia="仿宋_GB2312" w:hAnsi="微软雅黑" w:cs="仿宋_GB2312"/>
          <w:b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b/>
          <w:color w:val="000000"/>
          <w:sz w:val="32"/>
          <w:szCs w:val="32"/>
          <w:shd w:val="clear" w:color="auto" w:fill="FFFFFF"/>
        </w:rPr>
        <w:t>四、权利告知</w:t>
      </w:r>
    </w:p>
    <w:p w:rsidR="00107137" w:rsidRPr="00107137" w:rsidRDefault="00107137" w:rsidP="0010713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如不服本处罚决定，可在本决定书送达之日起 60 日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向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</w:t>
      </w: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市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县人民政府申请行政复议，也可以在本决定书送达之</w:t>
      </w:r>
    </w:p>
    <w:p w:rsidR="00CA3769" w:rsidRDefault="00107137" w:rsidP="00107137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日起 6 </w:t>
      </w:r>
      <w:proofErr w:type="gramStart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个</w:t>
      </w:r>
      <w:proofErr w:type="gramEnd"/>
      <w:r w:rsidRPr="00107137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月内向人民法院提行政诉讼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9391F" w:rsidRPr="003753E4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8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04128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3</w:t>
      </w:r>
      <w:r w:rsidR="005B577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0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8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041280">
        <w:rPr>
          <w:rFonts w:ascii="仿宋" w:eastAsia="仿宋" w:hAnsi="仿宋" w:hint="eastAsia"/>
          <w:sz w:val="32"/>
          <w:szCs w:val="32"/>
          <w:u w:val="single" w:color="FFFFFF" w:themeColor="background1"/>
        </w:rPr>
        <w:t>3</w:t>
      </w:r>
      <w:r w:rsidR="005B577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0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20" w:rsidRDefault="00842220">
      <w:r>
        <w:separator/>
      </w:r>
    </w:p>
  </w:endnote>
  <w:endnote w:type="continuationSeparator" w:id="0">
    <w:p w:rsidR="00842220" w:rsidRDefault="0084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20" w:rsidRDefault="00842220">
      <w:r>
        <w:separator/>
      </w:r>
    </w:p>
  </w:footnote>
  <w:footnote w:type="continuationSeparator" w:id="0">
    <w:p w:rsidR="00842220" w:rsidRDefault="00842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035C2"/>
    <w:rsid w:val="0001509F"/>
    <w:rsid w:val="00041280"/>
    <w:rsid w:val="000A5F7F"/>
    <w:rsid w:val="000E098A"/>
    <w:rsid w:val="000F4736"/>
    <w:rsid w:val="00107137"/>
    <w:rsid w:val="00151810"/>
    <w:rsid w:val="001C3841"/>
    <w:rsid w:val="00263C5F"/>
    <w:rsid w:val="0036084E"/>
    <w:rsid w:val="003753E4"/>
    <w:rsid w:val="0054606F"/>
    <w:rsid w:val="0055341A"/>
    <w:rsid w:val="005B577F"/>
    <w:rsid w:val="005D11F7"/>
    <w:rsid w:val="005E4012"/>
    <w:rsid w:val="005E5F40"/>
    <w:rsid w:val="006B40BB"/>
    <w:rsid w:val="00713433"/>
    <w:rsid w:val="007515DC"/>
    <w:rsid w:val="00777E53"/>
    <w:rsid w:val="0079391F"/>
    <w:rsid w:val="007A2F21"/>
    <w:rsid w:val="007B70D7"/>
    <w:rsid w:val="00842220"/>
    <w:rsid w:val="00883105"/>
    <w:rsid w:val="00886AE5"/>
    <w:rsid w:val="008F38A3"/>
    <w:rsid w:val="0090657B"/>
    <w:rsid w:val="009458BD"/>
    <w:rsid w:val="009532CC"/>
    <w:rsid w:val="0099051B"/>
    <w:rsid w:val="00A078AE"/>
    <w:rsid w:val="00AC6D49"/>
    <w:rsid w:val="00B70589"/>
    <w:rsid w:val="00B74814"/>
    <w:rsid w:val="00BF5C22"/>
    <w:rsid w:val="00C12492"/>
    <w:rsid w:val="00C33C32"/>
    <w:rsid w:val="00C85FAA"/>
    <w:rsid w:val="00CA3769"/>
    <w:rsid w:val="00CB695A"/>
    <w:rsid w:val="00CF6B1F"/>
    <w:rsid w:val="00D444F3"/>
    <w:rsid w:val="00D54E1C"/>
    <w:rsid w:val="00E64535"/>
    <w:rsid w:val="00E746D5"/>
    <w:rsid w:val="00E84642"/>
    <w:rsid w:val="00EB276C"/>
    <w:rsid w:val="00F07AA6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716</Characters>
  <Application>Microsoft Office Word</Application>
  <DocSecurity>0</DocSecurity>
  <Lines>5</Lines>
  <Paragraphs>1</Paragraphs>
  <ScaleCrop>false</ScaleCrop>
  <Company>User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lenovo</cp:lastModifiedBy>
  <cp:revision>20</cp:revision>
  <cp:lastPrinted>2022-08-31T08:56:00Z</cp:lastPrinted>
  <dcterms:created xsi:type="dcterms:W3CDTF">2022-08-31T08:01:00Z</dcterms:created>
  <dcterms:modified xsi:type="dcterms:W3CDTF">2022-08-31T09:08:00Z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